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60C204A5"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246923">
        <w:rPr>
          <w:b/>
          <w:color w:val="000000"/>
          <w:sz w:val="22"/>
          <w:szCs w:val="22"/>
          <w:lang w:val="uk-UA" w:eastAsia="uk-UA"/>
        </w:rPr>
        <w:t>3</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7B612C31" w14:textId="77777777" w:rsidR="0040323D" w:rsidRDefault="00CF5505" w:rsidP="00CF5505">
      <w:pPr>
        <w:jc w:val="center"/>
        <w:rPr>
          <w:b/>
          <w:bCs/>
          <w:lang w:val="uk-UA"/>
        </w:rPr>
      </w:pPr>
      <w:bookmarkStart w:id="0" w:name="_Hlk70425294"/>
      <w:r w:rsidRPr="004F428A">
        <w:rPr>
          <w:b/>
          <w:bCs/>
          <w:lang w:val="uk-UA"/>
        </w:rPr>
        <w:t>«</w:t>
      </w:r>
      <w:r>
        <w:rPr>
          <w:b/>
          <w:bCs/>
          <w:lang w:val="uk-UA"/>
        </w:rPr>
        <w:t xml:space="preserve">На закупівлю </w:t>
      </w:r>
      <w:r w:rsidR="004018BF">
        <w:rPr>
          <w:b/>
          <w:bCs/>
          <w:lang w:val="uk-UA"/>
        </w:rPr>
        <w:t>системи контролю привілейованого доступу</w:t>
      </w:r>
      <w:r w:rsidR="0040323D">
        <w:rPr>
          <w:b/>
          <w:bCs/>
          <w:lang w:val="uk-UA"/>
        </w:rPr>
        <w:t xml:space="preserve"> </w:t>
      </w:r>
    </w:p>
    <w:p w14:paraId="6A6AC504" w14:textId="52B636FE" w:rsidR="006138C5" w:rsidRPr="00A61A90" w:rsidRDefault="00360D72" w:rsidP="0040323D">
      <w:pPr>
        <w:jc w:val="center"/>
        <w:rPr>
          <w:b/>
          <w:bCs/>
          <w:lang w:val="uk-UA"/>
        </w:rPr>
      </w:pPr>
      <w:r>
        <w:rPr>
          <w:b/>
          <w:bCs/>
          <w:lang w:val="en-US"/>
        </w:rPr>
        <w:t>TELEPORT</w:t>
      </w:r>
      <w:r w:rsidR="00CF5505">
        <w:rPr>
          <w:b/>
          <w:bCs/>
          <w:lang w:val="uk-UA"/>
        </w:rPr>
        <w:t xml:space="preserve"> для </w:t>
      </w:r>
      <w:r w:rsidR="00CF5505" w:rsidRPr="004F428A">
        <w:rPr>
          <w:b/>
          <w:bCs/>
          <w:lang w:val="uk-UA"/>
        </w:rPr>
        <w:t>АТ «Ідея Банк</w:t>
      </w:r>
      <w:r w:rsidR="00CF5505">
        <w:rPr>
          <w:b/>
          <w:bCs/>
          <w:lang w:val="uk-UA"/>
        </w:rPr>
        <w:t>»</w:t>
      </w:r>
    </w:p>
    <w:bookmarkEnd w:id="0"/>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4FA46AE4"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360D72">
        <w:rPr>
          <w:b/>
          <w:bCs/>
          <w:lang w:val="en-US"/>
        </w:rPr>
        <w:t>3</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B0696" w:rsidRPr="004018BF" w14:paraId="0EFFD927" w14:textId="77777777" w:rsidTr="003C2519">
        <w:trPr>
          <w:trHeight w:val="720"/>
        </w:trPr>
        <w:tc>
          <w:tcPr>
            <w:tcW w:w="2644" w:type="dxa"/>
          </w:tcPr>
          <w:p w14:paraId="7EF15C1F" w14:textId="77777777" w:rsidR="00CB0696" w:rsidRDefault="00CB0696" w:rsidP="00CB0696">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4FF02911" w:rsidR="00CB0696" w:rsidRPr="00AD72CD" w:rsidRDefault="00AA3BAF" w:rsidP="004018BF">
            <w:pPr>
              <w:shd w:val="clear" w:color="auto" w:fill="FFFFFF"/>
              <w:ind w:firstLine="34"/>
              <w:rPr>
                <w:sz w:val="20"/>
                <w:szCs w:val="20"/>
                <w:highlight w:val="yellow"/>
                <w:lang w:val="uk-UA"/>
              </w:rPr>
            </w:pPr>
            <w:r w:rsidRPr="00E346FE">
              <w:rPr>
                <w:sz w:val="20"/>
                <w:szCs w:val="20"/>
                <w:lang w:val="uk-UA"/>
              </w:rPr>
              <w:t>АТ “Ідея Банк” (далі - Замовник) оголошує тендер на закупівлю</w:t>
            </w:r>
            <w:r>
              <w:rPr>
                <w:sz w:val="20"/>
                <w:szCs w:val="20"/>
                <w:lang w:val="uk-UA"/>
              </w:rPr>
              <w:t xml:space="preserve"> </w:t>
            </w:r>
            <w:r w:rsidR="004018BF" w:rsidRPr="004018BF">
              <w:rPr>
                <w:sz w:val="20"/>
                <w:szCs w:val="20"/>
                <w:lang w:val="uk-UA"/>
              </w:rPr>
              <w:t>системи контролю привілейованого доступу</w:t>
            </w:r>
            <w:r w:rsidR="0040323D">
              <w:rPr>
                <w:sz w:val="20"/>
                <w:szCs w:val="20"/>
                <w:lang w:val="uk-UA"/>
              </w:rPr>
              <w:t xml:space="preserve"> </w:t>
            </w:r>
            <w:r w:rsidR="00360D72">
              <w:rPr>
                <w:sz w:val="20"/>
                <w:szCs w:val="20"/>
                <w:lang w:val="en-US"/>
              </w:rPr>
              <w:t>Teleport</w:t>
            </w:r>
            <w:r w:rsidR="004018BF" w:rsidRPr="004018BF">
              <w:rPr>
                <w:sz w:val="20"/>
                <w:szCs w:val="20"/>
                <w:lang w:val="uk-UA"/>
              </w:rPr>
              <w:t xml:space="preserve"> для АТ «Ідея Банк</w:t>
            </w:r>
            <w:r w:rsidRPr="00E346FE">
              <w:rPr>
                <w:sz w:val="20"/>
                <w:szCs w:val="20"/>
                <w:lang w:val="uk-UA"/>
              </w:rPr>
              <w:t>.</w:t>
            </w:r>
          </w:p>
        </w:tc>
      </w:tr>
      <w:tr w:rsidR="00CB0696" w:rsidRPr="001C2E79" w14:paraId="2CDC1B4B" w14:textId="77777777" w:rsidTr="003C2519">
        <w:tc>
          <w:tcPr>
            <w:tcW w:w="2644" w:type="dxa"/>
          </w:tcPr>
          <w:p w14:paraId="083A728E" w14:textId="77777777" w:rsidR="00CB0696" w:rsidRPr="00C007B1" w:rsidRDefault="00CB0696" w:rsidP="00CB0696">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45548E0B" w:rsidR="00CB0696" w:rsidRPr="007D4AB6" w:rsidRDefault="00AA3BAF" w:rsidP="00CB0696">
            <w:pPr>
              <w:rPr>
                <w:sz w:val="20"/>
                <w:szCs w:val="20"/>
                <w:lang w:val="uk-UA"/>
              </w:rPr>
            </w:pPr>
            <w:r w:rsidRPr="00E346FE">
              <w:rPr>
                <w:sz w:val="20"/>
                <w:szCs w:val="20"/>
                <w:lang w:val="uk-UA"/>
              </w:rPr>
              <w:t>Метою даного проекту є вибір постачальника для поста</w:t>
            </w:r>
            <w:r>
              <w:rPr>
                <w:sz w:val="20"/>
                <w:szCs w:val="20"/>
                <w:lang w:val="uk-UA"/>
              </w:rPr>
              <w:t>вки</w:t>
            </w:r>
            <w:r w:rsidRPr="00E346FE">
              <w:rPr>
                <w:sz w:val="20"/>
                <w:szCs w:val="20"/>
                <w:lang w:val="uk-UA"/>
              </w:rPr>
              <w:t xml:space="preserve"> </w:t>
            </w:r>
            <w:r w:rsidR="004018BF">
              <w:rPr>
                <w:sz w:val="20"/>
                <w:szCs w:val="20"/>
                <w:lang w:val="uk-UA"/>
              </w:rPr>
              <w:t>ліцензії на систему контролю привілейованого доступу</w:t>
            </w:r>
            <w:r w:rsidR="0040323D">
              <w:rPr>
                <w:sz w:val="20"/>
                <w:szCs w:val="20"/>
                <w:lang w:val="uk-UA"/>
              </w:rPr>
              <w:t xml:space="preserve"> компанії </w:t>
            </w:r>
            <w:r w:rsidR="002B0FE2">
              <w:rPr>
                <w:sz w:val="20"/>
                <w:szCs w:val="20"/>
                <w:lang w:val="en-US"/>
              </w:rPr>
              <w:t>Teleport</w:t>
            </w:r>
            <w:r w:rsidR="004018BF">
              <w:rPr>
                <w:sz w:val="20"/>
                <w:szCs w:val="20"/>
                <w:lang w:val="uk-UA"/>
              </w:rPr>
              <w:t xml:space="preserve"> та інтеграції РАМ системи в інфраструктуру АТ «Ідея Банк» </w:t>
            </w:r>
          </w:p>
        </w:tc>
      </w:tr>
      <w:tr w:rsidR="00CB0696" w:rsidRPr="001C2E79" w14:paraId="41126176" w14:textId="77777777" w:rsidTr="003C2519">
        <w:tc>
          <w:tcPr>
            <w:tcW w:w="2644" w:type="dxa"/>
          </w:tcPr>
          <w:p w14:paraId="130FE749" w14:textId="77777777" w:rsidR="00CB0696" w:rsidRPr="00B65A6E" w:rsidRDefault="00CB0696" w:rsidP="00CB0696">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138C03E2" w14:textId="77777777" w:rsidR="00AA3BAF" w:rsidRDefault="00AA3BAF" w:rsidP="00AA3BAF">
            <w:pPr>
              <w:shd w:val="clear" w:color="auto" w:fill="FFFFFF"/>
              <w:spacing w:before="120" w:after="120"/>
              <w:jc w:val="both"/>
              <w:rPr>
                <w:bCs/>
                <w:noProof/>
                <w:sz w:val="20"/>
                <w:szCs w:val="20"/>
              </w:rPr>
            </w:pPr>
            <w:r>
              <w:rPr>
                <w:bCs/>
                <w:noProof/>
                <w:sz w:val="20"/>
                <w:szCs w:val="20"/>
              </w:rPr>
              <w:t>Основні вимоги до предмета в рамках тендера:</w:t>
            </w:r>
          </w:p>
          <w:p w14:paraId="688E3182" w14:textId="77777777" w:rsidR="00A65D6B" w:rsidRPr="00F11F51" w:rsidRDefault="002A5D42" w:rsidP="00A47050">
            <w:pPr>
              <w:pStyle w:val="a9"/>
              <w:numPr>
                <w:ilvl w:val="0"/>
                <w:numId w:val="9"/>
              </w:numPr>
              <w:shd w:val="clear" w:color="auto" w:fill="FFFFFF"/>
              <w:spacing w:before="120" w:after="120"/>
              <w:jc w:val="both"/>
              <w:rPr>
                <w:bCs/>
                <w:noProof/>
                <w:sz w:val="20"/>
                <w:szCs w:val="20"/>
              </w:rPr>
            </w:pPr>
            <w:r w:rsidRPr="002A5D42">
              <w:rPr>
                <w:bCs/>
                <w:noProof/>
                <w:sz w:val="20"/>
                <w:szCs w:val="20"/>
                <w:lang w:val="uk-UA"/>
              </w:rPr>
              <w:t>Додаток №1 до Технічного завдання: вимоги до проектування, впровадження та супроводу системи контролю привілейованого доступу до IT-інфраструктури «Ідея Банк»</w:t>
            </w:r>
          </w:p>
          <w:p w14:paraId="17AC1E48" w14:textId="1EA887D5" w:rsidR="00F11F51" w:rsidRPr="00A47050" w:rsidRDefault="006835EF" w:rsidP="00A47050">
            <w:pPr>
              <w:pStyle w:val="a9"/>
              <w:numPr>
                <w:ilvl w:val="0"/>
                <w:numId w:val="9"/>
              </w:numPr>
              <w:shd w:val="clear" w:color="auto" w:fill="FFFFFF"/>
              <w:spacing w:before="120" w:after="120"/>
              <w:jc w:val="both"/>
              <w:rPr>
                <w:bCs/>
                <w:noProof/>
                <w:sz w:val="20"/>
                <w:szCs w:val="20"/>
              </w:rPr>
            </w:pPr>
            <w:r>
              <w:rPr>
                <w:bCs/>
                <w:noProof/>
                <w:sz w:val="20"/>
                <w:szCs w:val="20"/>
                <w:lang w:val="uk-UA"/>
              </w:rPr>
              <w:t>Н</w:t>
            </w:r>
            <w:r w:rsidRPr="006835EF">
              <w:rPr>
                <w:bCs/>
                <w:noProof/>
                <w:sz w:val="20"/>
                <w:szCs w:val="20"/>
              </w:rPr>
              <w:t>еобхідність подання підтверджуючих документів – відповідні запити наведені в п. 5.9 та 5.10 Додатку 1 до Технічного завдання.</w:t>
            </w: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AA3BAF" w14:paraId="64D516E2" w14:textId="77777777" w:rsidTr="003C2519">
        <w:trPr>
          <w:trHeight w:val="1271"/>
        </w:trPr>
        <w:tc>
          <w:tcPr>
            <w:tcW w:w="2644" w:type="dxa"/>
          </w:tcPr>
          <w:p w14:paraId="5040A7E2" w14:textId="77777777" w:rsidR="00AA3BAF" w:rsidRPr="00C007B1" w:rsidRDefault="00AA3BAF" w:rsidP="00AA3BAF">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3D809741" w14:textId="151AED75" w:rsidR="00AA3BAF" w:rsidRPr="00731F6C" w:rsidRDefault="00AA3BAF" w:rsidP="00AA3BAF">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991C18" w:rsidRPr="0001430A">
              <w:rPr>
                <w:rFonts w:ascii="Times New Roman" w:hAnsi="Times New Roman" w:cs="Times New Roman"/>
                <w:b/>
                <w:bCs/>
                <w:color w:val="auto"/>
                <w:sz w:val="20"/>
                <w:szCs w:val="20"/>
                <w:lang w:val="uk-UA"/>
              </w:rPr>
              <w:t>12</w:t>
            </w:r>
            <w:r w:rsidRPr="0001430A">
              <w:rPr>
                <w:rFonts w:ascii="Times New Roman" w:hAnsi="Times New Roman" w:cs="Times New Roman"/>
                <w:b/>
                <w:bCs/>
                <w:color w:val="auto"/>
                <w:sz w:val="20"/>
                <w:szCs w:val="20"/>
                <w:lang w:val="uk-UA"/>
              </w:rPr>
              <w:t>.</w:t>
            </w:r>
            <w:r w:rsidR="00740B0F" w:rsidRPr="0001430A">
              <w:rPr>
                <w:rFonts w:ascii="Times New Roman" w:hAnsi="Times New Roman" w:cs="Times New Roman"/>
                <w:b/>
                <w:bCs/>
                <w:color w:val="auto"/>
                <w:sz w:val="20"/>
                <w:szCs w:val="20"/>
              </w:rPr>
              <w:t>12</w:t>
            </w:r>
            <w:r w:rsidRPr="0001430A">
              <w:rPr>
                <w:rFonts w:ascii="Times New Roman" w:hAnsi="Times New Roman" w:cs="Times New Roman"/>
                <w:b/>
                <w:bCs/>
                <w:color w:val="auto"/>
                <w:sz w:val="20"/>
                <w:szCs w:val="20"/>
              </w:rPr>
              <w:t>.</w:t>
            </w:r>
            <w:r w:rsidRPr="0001430A">
              <w:rPr>
                <w:rFonts w:ascii="Times New Roman" w:hAnsi="Times New Roman" w:cs="Times New Roman"/>
                <w:b/>
                <w:bCs/>
                <w:color w:val="auto"/>
                <w:sz w:val="20"/>
                <w:szCs w:val="20"/>
                <w:lang w:val="uk-UA"/>
              </w:rPr>
              <w:t>20</w:t>
            </w:r>
            <w:r w:rsidRPr="0001430A">
              <w:rPr>
                <w:rFonts w:ascii="Times New Roman" w:hAnsi="Times New Roman" w:cs="Times New Roman"/>
                <w:b/>
                <w:bCs/>
                <w:color w:val="auto"/>
                <w:sz w:val="20"/>
                <w:szCs w:val="20"/>
              </w:rPr>
              <w:t>2</w:t>
            </w:r>
            <w:r w:rsidR="00F60912" w:rsidRPr="0001430A">
              <w:rPr>
                <w:rFonts w:ascii="Times New Roman" w:hAnsi="Times New Roman" w:cs="Times New Roman"/>
                <w:b/>
                <w:bCs/>
                <w:color w:val="auto"/>
                <w:sz w:val="20"/>
                <w:szCs w:val="20"/>
              </w:rPr>
              <w:t>3</w:t>
            </w:r>
            <w:r w:rsidRPr="0001430A">
              <w:rPr>
                <w:rFonts w:ascii="Times New Roman" w:hAnsi="Times New Roman" w:cs="Times New Roman"/>
                <w:b/>
                <w:bCs/>
                <w:color w:val="auto"/>
                <w:sz w:val="20"/>
                <w:szCs w:val="20"/>
              </w:rPr>
              <w:t>.</w:t>
            </w:r>
          </w:p>
          <w:p w14:paraId="4313ACB3" w14:textId="77777777" w:rsidR="00AA3BAF" w:rsidRPr="00E04F39" w:rsidRDefault="00AA3BAF" w:rsidP="00AA3BAF">
            <w:pPr>
              <w:pStyle w:val="Default"/>
              <w:rPr>
                <w:rFonts w:ascii="Times New Roman" w:hAnsi="Times New Roman" w:cs="Times New Roman"/>
                <w:color w:val="auto"/>
                <w:sz w:val="20"/>
                <w:szCs w:val="20"/>
              </w:rPr>
            </w:pPr>
          </w:p>
        </w:tc>
      </w:tr>
      <w:tr w:rsidR="00AA3BAF" w14:paraId="75BA40DA" w14:textId="77777777" w:rsidTr="003C2519">
        <w:tc>
          <w:tcPr>
            <w:tcW w:w="2644" w:type="dxa"/>
          </w:tcPr>
          <w:p w14:paraId="5DDBBD5B" w14:textId="77777777" w:rsidR="00AA3BAF" w:rsidRPr="00A61A90" w:rsidRDefault="00AA3BAF" w:rsidP="00AA3BAF">
            <w:pPr>
              <w:shd w:val="clear" w:color="auto" w:fill="FFFFFF"/>
              <w:rPr>
                <w:b/>
                <w:bCs/>
                <w:sz w:val="20"/>
                <w:szCs w:val="20"/>
                <w:lang w:val="uk-UA"/>
              </w:rPr>
            </w:pPr>
            <w:r>
              <w:rPr>
                <w:b/>
                <w:bCs/>
                <w:sz w:val="20"/>
                <w:szCs w:val="20"/>
                <w:lang w:val="uk-UA"/>
              </w:rPr>
              <w:t>2.2. Питання по ЗТП</w:t>
            </w:r>
          </w:p>
          <w:p w14:paraId="51FC436B" w14:textId="77777777" w:rsidR="00AA3BAF" w:rsidRDefault="00AA3BAF" w:rsidP="00AA3BAF">
            <w:pPr>
              <w:rPr>
                <w:b/>
                <w:bCs/>
                <w:lang w:val="uk-UA"/>
              </w:rPr>
            </w:pPr>
          </w:p>
        </w:tc>
        <w:tc>
          <w:tcPr>
            <w:tcW w:w="6711" w:type="dxa"/>
          </w:tcPr>
          <w:p w14:paraId="30B2AC5B" w14:textId="77777777" w:rsidR="00AA3BAF" w:rsidRDefault="00AA3BAF" w:rsidP="00AA3BAF">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6F1AC977" w:rsidR="00AA3BAF" w:rsidRPr="00160EDA" w:rsidRDefault="00AA3BAF" w:rsidP="00AA3BAF">
            <w:pPr>
              <w:rPr>
                <w:sz w:val="20"/>
                <w:szCs w:val="20"/>
                <w:lang w:val="uk-UA"/>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007DC5" w:rsidRPr="0001430A">
              <w:rPr>
                <w:b/>
                <w:color w:val="000000"/>
                <w:spacing w:val="4"/>
                <w:sz w:val="20"/>
                <w:szCs w:val="20"/>
                <w:lang w:val="uk-UA"/>
              </w:rPr>
              <w:t>26</w:t>
            </w:r>
            <w:r w:rsidRPr="0001430A">
              <w:rPr>
                <w:b/>
                <w:color w:val="000000"/>
                <w:spacing w:val="4"/>
                <w:sz w:val="20"/>
                <w:szCs w:val="20"/>
                <w:lang w:val="uk-UA"/>
              </w:rPr>
              <w:t>.</w:t>
            </w:r>
            <w:r w:rsidR="00AC1B9B" w:rsidRPr="0001430A">
              <w:rPr>
                <w:b/>
                <w:color w:val="000000"/>
                <w:spacing w:val="4"/>
                <w:sz w:val="20"/>
                <w:szCs w:val="20"/>
                <w:lang w:val="uk-UA"/>
              </w:rPr>
              <w:t>01</w:t>
            </w:r>
            <w:r w:rsidRPr="0001430A">
              <w:rPr>
                <w:b/>
                <w:color w:val="000000"/>
                <w:spacing w:val="4"/>
                <w:sz w:val="20"/>
                <w:szCs w:val="20"/>
                <w:lang w:val="uk-UA"/>
              </w:rPr>
              <w:t>.20</w:t>
            </w:r>
            <w:r w:rsidRPr="0001430A">
              <w:rPr>
                <w:b/>
                <w:color w:val="000000"/>
                <w:spacing w:val="4"/>
                <w:sz w:val="20"/>
                <w:szCs w:val="20"/>
              </w:rPr>
              <w:t>2</w:t>
            </w:r>
            <w:r w:rsidR="00AC1B9B" w:rsidRPr="0001430A">
              <w:rPr>
                <w:b/>
                <w:color w:val="000000"/>
                <w:spacing w:val="4"/>
                <w:sz w:val="20"/>
                <w:szCs w:val="20"/>
                <w:lang w:val="uk-UA"/>
              </w:rPr>
              <w:t>4</w:t>
            </w:r>
            <w:r w:rsidRPr="0001430A">
              <w:rPr>
                <w:b/>
                <w:color w:val="000000"/>
                <w:spacing w:val="4"/>
                <w:sz w:val="20"/>
                <w:szCs w:val="20"/>
              </w:rPr>
              <w:t>.</w:t>
            </w:r>
          </w:p>
        </w:tc>
      </w:tr>
      <w:tr w:rsidR="00AA3BAF" w14:paraId="43885691" w14:textId="77777777" w:rsidTr="003C2519">
        <w:trPr>
          <w:trHeight w:val="601"/>
        </w:trPr>
        <w:tc>
          <w:tcPr>
            <w:tcW w:w="2644" w:type="dxa"/>
          </w:tcPr>
          <w:p w14:paraId="0556EC13" w14:textId="77777777" w:rsidR="00AA3BAF" w:rsidRPr="00A61A90" w:rsidRDefault="00AA3BAF" w:rsidP="00AA3BAF">
            <w:pPr>
              <w:shd w:val="clear" w:color="auto" w:fill="FFFFFF"/>
              <w:rPr>
                <w:b/>
                <w:bCs/>
                <w:sz w:val="20"/>
                <w:szCs w:val="20"/>
                <w:lang w:val="uk-UA"/>
              </w:rPr>
            </w:pPr>
            <w:r>
              <w:rPr>
                <w:b/>
                <w:bCs/>
                <w:sz w:val="20"/>
                <w:szCs w:val="20"/>
                <w:lang w:val="uk-UA"/>
              </w:rPr>
              <w:t>2.3. Збори учасників</w:t>
            </w:r>
          </w:p>
          <w:p w14:paraId="72AB588F" w14:textId="77777777" w:rsidR="00AA3BAF" w:rsidRDefault="00AA3BAF" w:rsidP="00AA3BAF">
            <w:pPr>
              <w:rPr>
                <w:b/>
                <w:bCs/>
                <w:lang w:val="uk-UA"/>
              </w:rPr>
            </w:pPr>
          </w:p>
        </w:tc>
        <w:tc>
          <w:tcPr>
            <w:tcW w:w="6711" w:type="dxa"/>
          </w:tcPr>
          <w:p w14:paraId="327166FA" w14:textId="5CF6FE37" w:rsidR="00AA3BAF" w:rsidRDefault="00AA3BAF" w:rsidP="00AA3BAF">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AA3BAF" w14:paraId="3CD97991" w14:textId="77777777" w:rsidTr="003C2519">
        <w:trPr>
          <w:trHeight w:val="601"/>
        </w:trPr>
        <w:tc>
          <w:tcPr>
            <w:tcW w:w="2644" w:type="dxa"/>
          </w:tcPr>
          <w:p w14:paraId="606DD908" w14:textId="77777777" w:rsidR="00AA3BAF" w:rsidRPr="00A61A90" w:rsidRDefault="00AA3BAF" w:rsidP="00AA3BAF">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AA3BAF" w:rsidRPr="00A61A90" w:rsidRDefault="00AA3BAF" w:rsidP="00AA3BAF">
            <w:pPr>
              <w:shd w:val="clear" w:color="auto" w:fill="FFFFFF"/>
              <w:rPr>
                <w:b/>
                <w:bCs/>
                <w:sz w:val="20"/>
                <w:szCs w:val="20"/>
                <w:lang w:val="uk-UA"/>
              </w:rPr>
            </w:pPr>
          </w:p>
        </w:tc>
        <w:tc>
          <w:tcPr>
            <w:tcW w:w="6711" w:type="dxa"/>
          </w:tcPr>
          <w:p w14:paraId="5684B9D1" w14:textId="3F29CC5E" w:rsidR="00AA3BAF" w:rsidRPr="00D221B5" w:rsidRDefault="00AA3BAF" w:rsidP="00AA3BAF">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A279D4">
              <w:rPr>
                <w:b/>
                <w:bCs/>
                <w:sz w:val="20"/>
                <w:szCs w:val="20"/>
                <w:lang w:val="uk-UA"/>
              </w:rPr>
              <w:t>25</w:t>
            </w:r>
            <w:r w:rsidRPr="0001430A">
              <w:rPr>
                <w:b/>
                <w:bCs/>
                <w:sz w:val="20"/>
                <w:szCs w:val="20"/>
                <w:lang w:val="uk-UA"/>
              </w:rPr>
              <w:t>.</w:t>
            </w:r>
            <w:r w:rsidR="00AC1B9B" w:rsidRPr="0001430A">
              <w:rPr>
                <w:b/>
                <w:bCs/>
                <w:sz w:val="20"/>
                <w:szCs w:val="20"/>
                <w:lang w:val="uk-UA"/>
              </w:rPr>
              <w:t>01</w:t>
            </w:r>
            <w:r w:rsidRPr="0001430A">
              <w:rPr>
                <w:b/>
                <w:bCs/>
                <w:sz w:val="20"/>
                <w:szCs w:val="20"/>
                <w:lang w:val="uk-UA"/>
              </w:rPr>
              <w:t>.20</w:t>
            </w:r>
            <w:r w:rsidRPr="0001430A">
              <w:rPr>
                <w:b/>
                <w:bCs/>
                <w:sz w:val="20"/>
                <w:szCs w:val="20"/>
              </w:rPr>
              <w:t>2</w:t>
            </w:r>
            <w:r w:rsidR="00AC1B9B" w:rsidRPr="0001430A">
              <w:rPr>
                <w:b/>
                <w:bCs/>
                <w:sz w:val="20"/>
                <w:szCs w:val="20"/>
                <w:lang w:val="uk-UA"/>
              </w:rPr>
              <w:t>4</w:t>
            </w:r>
            <w:r w:rsidRPr="0001430A">
              <w:rPr>
                <w:b/>
                <w:sz w:val="20"/>
                <w:szCs w:val="20"/>
              </w:rPr>
              <w:t>.</w:t>
            </w:r>
            <w:r w:rsidRPr="009241CE">
              <w:rPr>
                <w:sz w:val="20"/>
                <w:szCs w:val="20"/>
              </w:rPr>
              <w:t xml:space="preserve"> </w:t>
            </w:r>
          </w:p>
        </w:tc>
      </w:tr>
      <w:tr w:rsidR="00AA3BAF" w:rsidRPr="00991C18" w14:paraId="3031A1DA" w14:textId="77777777" w:rsidTr="003C2519">
        <w:trPr>
          <w:trHeight w:val="601"/>
        </w:trPr>
        <w:tc>
          <w:tcPr>
            <w:tcW w:w="2644" w:type="dxa"/>
          </w:tcPr>
          <w:p w14:paraId="7E198611" w14:textId="77777777" w:rsidR="00AA3BAF" w:rsidRPr="00A61A90" w:rsidRDefault="00AA3BAF" w:rsidP="00AA3BAF">
            <w:pPr>
              <w:shd w:val="clear" w:color="auto" w:fill="FFFFFF"/>
              <w:rPr>
                <w:b/>
                <w:bCs/>
                <w:sz w:val="20"/>
                <w:szCs w:val="20"/>
                <w:lang w:val="uk-UA"/>
              </w:rPr>
            </w:pPr>
            <w:r>
              <w:rPr>
                <w:b/>
                <w:bCs/>
                <w:sz w:val="20"/>
                <w:szCs w:val="20"/>
                <w:lang w:val="uk-UA"/>
              </w:rPr>
              <w:t>2.5. Термін дії пропозиції</w:t>
            </w:r>
          </w:p>
          <w:p w14:paraId="34392493" w14:textId="77777777" w:rsidR="00AA3BAF" w:rsidRPr="00A61A90" w:rsidRDefault="00AA3BAF" w:rsidP="00AA3BAF">
            <w:pPr>
              <w:shd w:val="clear" w:color="auto" w:fill="FFFFFF"/>
              <w:rPr>
                <w:b/>
                <w:bCs/>
                <w:sz w:val="20"/>
                <w:szCs w:val="20"/>
                <w:lang w:val="uk-UA"/>
              </w:rPr>
            </w:pPr>
          </w:p>
        </w:tc>
        <w:tc>
          <w:tcPr>
            <w:tcW w:w="6711" w:type="dxa"/>
          </w:tcPr>
          <w:p w14:paraId="0F3CF28C" w14:textId="6E7C518E" w:rsidR="00AA3BAF" w:rsidRDefault="00AA3BAF" w:rsidP="00AA3BAF">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00D324C8" w:rsidRPr="0001430A">
              <w:rPr>
                <w:sz w:val="20"/>
                <w:szCs w:val="20"/>
                <w:lang w:val="uk-UA"/>
              </w:rPr>
              <w:t xml:space="preserve">2 </w:t>
            </w:r>
            <w:r w:rsidRPr="0001430A">
              <w:rPr>
                <w:sz w:val="20"/>
                <w:szCs w:val="20"/>
                <w:lang w:val="uk-UA"/>
              </w:rPr>
              <w:t xml:space="preserve"> </w:t>
            </w:r>
            <w:r w:rsidR="00D324C8" w:rsidRPr="0001430A">
              <w:rPr>
                <w:sz w:val="20"/>
                <w:szCs w:val="20"/>
                <w:lang w:val="uk-UA"/>
              </w:rPr>
              <w:t>місяці</w:t>
            </w:r>
            <w:r w:rsidRPr="0001430A">
              <w:rPr>
                <w:sz w:val="20"/>
                <w:szCs w:val="20"/>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5FC8A6F1"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sidR="00A47050">
              <w:rPr>
                <w:sz w:val="20"/>
                <w:szCs w:val="20"/>
                <w:lang w:val="uk-UA"/>
              </w:rPr>
              <w:t xml:space="preserve">та вартості виконання робіт з налаштування та інтеграції системи в існуючу інфраструктуру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0A061C91"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sidR="00CD5F4F">
              <w:rPr>
                <w:sz w:val="20"/>
                <w:szCs w:val="20"/>
                <w:lang w:val="uk-UA"/>
              </w:rPr>
              <w:t>згідно шаблону, додаток 2</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991C18"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758B3D3D"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0026400A">
                <w:rPr>
                  <w:rStyle w:val="a8"/>
                  <w:sz w:val="20"/>
                  <w:szCs w:val="20"/>
                  <w:shd w:val="clear" w:color="auto" w:fill="FFFFFF"/>
                  <w:lang w:val="ru-UA"/>
                </w:rPr>
                <w:t>https://zakupivli.pro</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991C18"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w:t>
            </w:r>
            <w:r w:rsidRPr="00A61A90">
              <w:rPr>
                <w:sz w:val="20"/>
                <w:szCs w:val="20"/>
                <w:lang w:val="uk-UA"/>
              </w:rPr>
              <w:lastRenderedPageBreak/>
              <w:t xml:space="preserve">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991C18"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3CFAFB15"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006D4AB4">
                <w:rPr>
                  <w:rStyle w:val="a8"/>
                  <w:sz w:val="20"/>
                  <w:szCs w:val="20"/>
                  <w:shd w:val="clear" w:color="auto" w:fill="FFFFFF"/>
                  <w:lang w:val="ru-UA"/>
                </w:rPr>
                <w:t>https://zakupivli.pro</w:t>
              </w:r>
            </w:hyperlink>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13FAA" w14:textId="77777777" w:rsidR="005B58F0" w:rsidRDefault="005B58F0" w:rsidP="006138C5">
      <w:r>
        <w:separator/>
      </w:r>
    </w:p>
  </w:endnote>
  <w:endnote w:type="continuationSeparator" w:id="0">
    <w:p w14:paraId="4993061F" w14:textId="77777777" w:rsidR="005B58F0" w:rsidRDefault="005B58F0"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ED01" w14:textId="77777777" w:rsidR="005B58F0" w:rsidRDefault="005B58F0" w:rsidP="006138C5">
      <w:r>
        <w:separator/>
      </w:r>
    </w:p>
  </w:footnote>
  <w:footnote w:type="continuationSeparator" w:id="0">
    <w:p w14:paraId="4F1AC21E" w14:textId="77777777" w:rsidR="005B58F0" w:rsidRDefault="005B58F0"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077084E0" w14:textId="77777777" w:rsidR="00CF5505" w:rsidRPr="006138C5" w:rsidRDefault="00CF5505" w:rsidP="00CF5505">
        <w:pPr>
          <w:pStyle w:val="a3"/>
          <w:jc w:val="center"/>
          <w:rPr>
            <w:i/>
            <w:sz w:val="20"/>
            <w:lang w:val="uk-UA"/>
          </w:rPr>
        </w:pPr>
        <w:r w:rsidRPr="006138C5">
          <w:rPr>
            <w:i/>
            <w:sz w:val="20"/>
            <w:lang w:val="uk-UA"/>
          </w:rPr>
          <w:t>Запит тендерної пропозиції</w:t>
        </w:r>
      </w:p>
      <w:p w14:paraId="7C7601CF" w14:textId="77777777" w:rsidR="004018BF" w:rsidRPr="004018BF" w:rsidRDefault="00CF5505" w:rsidP="004018BF">
        <w:pPr>
          <w:jc w:val="center"/>
          <w:rPr>
            <w:i/>
            <w:sz w:val="20"/>
            <w:lang w:val="uk-UA"/>
          </w:rPr>
        </w:pPr>
        <w:r w:rsidRPr="00B6777C">
          <w:rPr>
            <w:i/>
            <w:sz w:val="20"/>
            <w:lang w:val="uk-UA"/>
          </w:rPr>
          <w:t xml:space="preserve"> </w:t>
        </w:r>
        <w:r w:rsidRPr="006138C5">
          <w:rPr>
            <w:i/>
            <w:sz w:val="20"/>
            <w:lang w:val="uk-UA"/>
          </w:rPr>
          <w:t>учасникам тендеру «</w:t>
        </w:r>
        <w:r w:rsidR="004018BF" w:rsidRPr="004018BF">
          <w:rPr>
            <w:i/>
            <w:sz w:val="20"/>
            <w:lang w:val="uk-UA"/>
          </w:rPr>
          <w:t xml:space="preserve">На закупівлю системи контролю привілейованого доступу </w:t>
        </w:r>
      </w:p>
      <w:p w14:paraId="2E42BBC4" w14:textId="1C3F1611" w:rsidR="00CB0696" w:rsidRPr="006138C5" w:rsidRDefault="00FD3E09" w:rsidP="004018BF">
        <w:pPr>
          <w:jc w:val="center"/>
          <w:rPr>
            <w:i/>
            <w:sz w:val="20"/>
            <w:lang w:val="uk-UA"/>
          </w:rPr>
        </w:pPr>
        <w:r>
          <w:rPr>
            <w:i/>
            <w:sz w:val="20"/>
            <w:lang w:val="en-US"/>
          </w:rPr>
          <w:t>Teleport</w:t>
        </w:r>
        <w:r w:rsidR="0040323D">
          <w:rPr>
            <w:i/>
            <w:sz w:val="20"/>
            <w:lang w:val="uk-UA"/>
          </w:rPr>
          <w:t xml:space="preserve"> </w:t>
        </w:r>
        <w:r w:rsidR="004018BF" w:rsidRPr="004018BF">
          <w:rPr>
            <w:i/>
            <w:sz w:val="20"/>
            <w:lang w:val="uk-UA"/>
          </w:rPr>
          <w:t>для АТ «Ідея Банк</w:t>
        </w:r>
        <w:r w:rsidR="00CF5505">
          <w:rPr>
            <w:i/>
            <w:sz w:val="20"/>
            <w:lang w:val="uk-UA"/>
          </w:rPr>
          <w:t>»</w:t>
        </w:r>
      </w:p>
      <w:p w14:paraId="1D11DB22" w14:textId="70863230"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7148B6">
          <w:rPr>
            <w:i/>
            <w:noProof/>
            <w:sz w:val="16"/>
          </w:rPr>
          <w:t>5</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100225588">
    <w:abstractNumId w:val="3"/>
  </w:num>
  <w:num w:numId="2" w16cid:durableId="449252332">
    <w:abstractNumId w:val="1"/>
  </w:num>
  <w:num w:numId="3" w16cid:durableId="363408148">
    <w:abstractNumId w:val="8"/>
  </w:num>
  <w:num w:numId="4" w16cid:durableId="1273589123">
    <w:abstractNumId w:val="2"/>
  </w:num>
  <w:num w:numId="5" w16cid:durableId="445125050">
    <w:abstractNumId w:val="7"/>
  </w:num>
  <w:num w:numId="6" w16cid:durableId="58552945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353003385">
    <w:abstractNumId w:val="5"/>
  </w:num>
  <w:num w:numId="8" w16cid:durableId="813788829">
    <w:abstractNumId w:val="4"/>
  </w:num>
  <w:num w:numId="9" w16cid:durableId="1592930988">
    <w:abstractNumId w:val="6"/>
  </w:num>
  <w:num w:numId="10" w16cid:durableId="1653363199">
    <w:abstractNumId w:val="10"/>
  </w:num>
  <w:num w:numId="11" w16cid:durableId="1359620369">
    <w:abstractNumId w:val="9"/>
  </w:num>
  <w:num w:numId="12" w16cid:durableId="1960526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C5"/>
    <w:rsid w:val="00007DC5"/>
    <w:rsid w:val="00012BD4"/>
    <w:rsid w:val="0001430A"/>
    <w:rsid w:val="00015EB7"/>
    <w:rsid w:val="000204A0"/>
    <w:rsid w:val="000225FC"/>
    <w:rsid w:val="00034DB2"/>
    <w:rsid w:val="00043D24"/>
    <w:rsid w:val="000534F7"/>
    <w:rsid w:val="0005582B"/>
    <w:rsid w:val="0005729C"/>
    <w:rsid w:val="00057783"/>
    <w:rsid w:val="00062824"/>
    <w:rsid w:val="00073399"/>
    <w:rsid w:val="00081623"/>
    <w:rsid w:val="00096A5D"/>
    <w:rsid w:val="000F173A"/>
    <w:rsid w:val="000F3950"/>
    <w:rsid w:val="00107B44"/>
    <w:rsid w:val="00140C27"/>
    <w:rsid w:val="00142385"/>
    <w:rsid w:val="00154DFA"/>
    <w:rsid w:val="00160EDA"/>
    <w:rsid w:val="00186FE5"/>
    <w:rsid w:val="001A58A6"/>
    <w:rsid w:val="001B1741"/>
    <w:rsid w:val="001C2E79"/>
    <w:rsid w:val="001D61F5"/>
    <w:rsid w:val="001E0016"/>
    <w:rsid w:val="0020583D"/>
    <w:rsid w:val="00205EDB"/>
    <w:rsid w:val="002140A6"/>
    <w:rsid w:val="0023462D"/>
    <w:rsid w:val="00246923"/>
    <w:rsid w:val="002549C2"/>
    <w:rsid w:val="002551F1"/>
    <w:rsid w:val="002563A9"/>
    <w:rsid w:val="002569E3"/>
    <w:rsid w:val="002573B4"/>
    <w:rsid w:val="0026275F"/>
    <w:rsid w:val="0026400A"/>
    <w:rsid w:val="002872D4"/>
    <w:rsid w:val="002875B0"/>
    <w:rsid w:val="002A5D42"/>
    <w:rsid w:val="002B0FE2"/>
    <w:rsid w:val="002B1480"/>
    <w:rsid w:val="002B62B5"/>
    <w:rsid w:val="002B6AE6"/>
    <w:rsid w:val="002D319C"/>
    <w:rsid w:val="002E0239"/>
    <w:rsid w:val="002F664F"/>
    <w:rsid w:val="00306916"/>
    <w:rsid w:val="00312508"/>
    <w:rsid w:val="003128C7"/>
    <w:rsid w:val="003204CE"/>
    <w:rsid w:val="00354EFF"/>
    <w:rsid w:val="00360D72"/>
    <w:rsid w:val="00371B0A"/>
    <w:rsid w:val="00395A04"/>
    <w:rsid w:val="003A0BF5"/>
    <w:rsid w:val="003B55D3"/>
    <w:rsid w:val="003C2519"/>
    <w:rsid w:val="003D2599"/>
    <w:rsid w:val="003E0EEC"/>
    <w:rsid w:val="003E60E0"/>
    <w:rsid w:val="003F5BF9"/>
    <w:rsid w:val="003F7AEC"/>
    <w:rsid w:val="004018BF"/>
    <w:rsid w:val="0040323D"/>
    <w:rsid w:val="00410CBC"/>
    <w:rsid w:val="0041165B"/>
    <w:rsid w:val="004132C1"/>
    <w:rsid w:val="004174DC"/>
    <w:rsid w:val="00430207"/>
    <w:rsid w:val="004578C2"/>
    <w:rsid w:val="00464CB6"/>
    <w:rsid w:val="004920E2"/>
    <w:rsid w:val="004C64EF"/>
    <w:rsid w:val="004F07F6"/>
    <w:rsid w:val="004F4EB2"/>
    <w:rsid w:val="00515042"/>
    <w:rsid w:val="0053594B"/>
    <w:rsid w:val="00535E68"/>
    <w:rsid w:val="00542FE0"/>
    <w:rsid w:val="00554249"/>
    <w:rsid w:val="00564CB5"/>
    <w:rsid w:val="00570EE1"/>
    <w:rsid w:val="005812D2"/>
    <w:rsid w:val="00591FAF"/>
    <w:rsid w:val="005B41E3"/>
    <w:rsid w:val="005B58F0"/>
    <w:rsid w:val="005D6805"/>
    <w:rsid w:val="005F5807"/>
    <w:rsid w:val="005F5B90"/>
    <w:rsid w:val="006138C5"/>
    <w:rsid w:val="00615AF2"/>
    <w:rsid w:val="006216A3"/>
    <w:rsid w:val="00625953"/>
    <w:rsid w:val="0066633C"/>
    <w:rsid w:val="0067478D"/>
    <w:rsid w:val="0067631C"/>
    <w:rsid w:val="006835EF"/>
    <w:rsid w:val="006A36B8"/>
    <w:rsid w:val="006B0308"/>
    <w:rsid w:val="006D0877"/>
    <w:rsid w:val="006D0C53"/>
    <w:rsid w:val="006D2C39"/>
    <w:rsid w:val="006D4AB4"/>
    <w:rsid w:val="006E6CB9"/>
    <w:rsid w:val="006F493A"/>
    <w:rsid w:val="00704945"/>
    <w:rsid w:val="007119E5"/>
    <w:rsid w:val="007148B6"/>
    <w:rsid w:val="00737225"/>
    <w:rsid w:val="00737288"/>
    <w:rsid w:val="00740B0F"/>
    <w:rsid w:val="00741459"/>
    <w:rsid w:val="00762679"/>
    <w:rsid w:val="007746D3"/>
    <w:rsid w:val="00780E08"/>
    <w:rsid w:val="007846A1"/>
    <w:rsid w:val="007B7921"/>
    <w:rsid w:val="007D4AB6"/>
    <w:rsid w:val="007D584D"/>
    <w:rsid w:val="007E76D4"/>
    <w:rsid w:val="007F0240"/>
    <w:rsid w:val="007F2E52"/>
    <w:rsid w:val="007F3331"/>
    <w:rsid w:val="008312A2"/>
    <w:rsid w:val="00832423"/>
    <w:rsid w:val="00832FCA"/>
    <w:rsid w:val="00840086"/>
    <w:rsid w:val="00845E7F"/>
    <w:rsid w:val="00862462"/>
    <w:rsid w:val="00894B86"/>
    <w:rsid w:val="008A1429"/>
    <w:rsid w:val="008B0883"/>
    <w:rsid w:val="008B709E"/>
    <w:rsid w:val="008C7B6A"/>
    <w:rsid w:val="008D0133"/>
    <w:rsid w:val="009016D5"/>
    <w:rsid w:val="00904809"/>
    <w:rsid w:val="009241CE"/>
    <w:rsid w:val="009242FE"/>
    <w:rsid w:val="00955DF9"/>
    <w:rsid w:val="00957B11"/>
    <w:rsid w:val="009757B2"/>
    <w:rsid w:val="00991C18"/>
    <w:rsid w:val="009953C7"/>
    <w:rsid w:val="00995EA8"/>
    <w:rsid w:val="009B2636"/>
    <w:rsid w:val="009D07FA"/>
    <w:rsid w:val="009D1946"/>
    <w:rsid w:val="009D31D2"/>
    <w:rsid w:val="009E14C1"/>
    <w:rsid w:val="00A279D4"/>
    <w:rsid w:val="00A334D8"/>
    <w:rsid w:val="00A35356"/>
    <w:rsid w:val="00A426FF"/>
    <w:rsid w:val="00A47050"/>
    <w:rsid w:val="00A53157"/>
    <w:rsid w:val="00A65D6B"/>
    <w:rsid w:val="00A766FB"/>
    <w:rsid w:val="00AA3BAF"/>
    <w:rsid w:val="00AA7876"/>
    <w:rsid w:val="00AC1B9B"/>
    <w:rsid w:val="00AD72CD"/>
    <w:rsid w:val="00B03705"/>
    <w:rsid w:val="00B117E0"/>
    <w:rsid w:val="00B20239"/>
    <w:rsid w:val="00B21D56"/>
    <w:rsid w:val="00B228A9"/>
    <w:rsid w:val="00B24099"/>
    <w:rsid w:val="00B2418B"/>
    <w:rsid w:val="00B44B6D"/>
    <w:rsid w:val="00B655DC"/>
    <w:rsid w:val="00B65A6E"/>
    <w:rsid w:val="00B66C30"/>
    <w:rsid w:val="00B80B94"/>
    <w:rsid w:val="00B84369"/>
    <w:rsid w:val="00B92FD4"/>
    <w:rsid w:val="00B95619"/>
    <w:rsid w:val="00BC1E82"/>
    <w:rsid w:val="00BC4DE9"/>
    <w:rsid w:val="00BD3929"/>
    <w:rsid w:val="00BE7727"/>
    <w:rsid w:val="00BF4F1E"/>
    <w:rsid w:val="00C007B1"/>
    <w:rsid w:val="00C05BEE"/>
    <w:rsid w:val="00C375AE"/>
    <w:rsid w:val="00C556F9"/>
    <w:rsid w:val="00C6586B"/>
    <w:rsid w:val="00C72A4D"/>
    <w:rsid w:val="00C94D64"/>
    <w:rsid w:val="00CA15B2"/>
    <w:rsid w:val="00CA66D9"/>
    <w:rsid w:val="00CA6A16"/>
    <w:rsid w:val="00CB0696"/>
    <w:rsid w:val="00CB5D34"/>
    <w:rsid w:val="00CC0F6B"/>
    <w:rsid w:val="00CD5F4F"/>
    <w:rsid w:val="00CD6AB5"/>
    <w:rsid w:val="00CF5505"/>
    <w:rsid w:val="00CF59C5"/>
    <w:rsid w:val="00D221B5"/>
    <w:rsid w:val="00D324C8"/>
    <w:rsid w:val="00D42426"/>
    <w:rsid w:val="00D43841"/>
    <w:rsid w:val="00D73F4A"/>
    <w:rsid w:val="00D85C9F"/>
    <w:rsid w:val="00D91BBD"/>
    <w:rsid w:val="00D925B6"/>
    <w:rsid w:val="00DA0569"/>
    <w:rsid w:val="00DA531D"/>
    <w:rsid w:val="00DC0084"/>
    <w:rsid w:val="00DD678A"/>
    <w:rsid w:val="00E04F39"/>
    <w:rsid w:val="00E346FE"/>
    <w:rsid w:val="00E37B79"/>
    <w:rsid w:val="00E4095E"/>
    <w:rsid w:val="00E455C9"/>
    <w:rsid w:val="00E45D50"/>
    <w:rsid w:val="00E5326E"/>
    <w:rsid w:val="00EB30C8"/>
    <w:rsid w:val="00EB48CE"/>
    <w:rsid w:val="00ED1C41"/>
    <w:rsid w:val="00EE0784"/>
    <w:rsid w:val="00EE24D5"/>
    <w:rsid w:val="00EF538D"/>
    <w:rsid w:val="00EF5465"/>
    <w:rsid w:val="00EF6BC6"/>
    <w:rsid w:val="00F11F51"/>
    <w:rsid w:val="00F13B7D"/>
    <w:rsid w:val="00F24A0A"/>
    <w:rsid w:val="00F45087"/>
    <w:rsid w:val="00F51BB6"/>
    <w:rsid w:val="00F57555"/>
    <w:rsid w:val="00F60912"/>
    <w:rsid w:val="00F71259"/>
    <w:rsid w:val="00F83267"/>
    <w:rsid w:val="00F94EA3"/>
    <w:rsid w:val="00FD0CEE"/>
    <w:rsid w:val="00FD1458"/>
    <w:rsid w:val="00FD3E09"/>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029374684">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547645343">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 w:id="18390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ivli.pro/" TargetMode="External"/><Relationship Id="rId3" Type="http://schemas.openxmlformats.org/officeDocument/2006/relationships/settings" Target="settings.xml"/><Relationship Id="rId7" Type="http://schemas.openxmlformats.org/officeDocument/2006/relationships/hyperlink" Target="https://zakupivli.p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8459</Characters>
  <Application>Microsoft Office Word</Application>
  <DocSecurity>0</DocSecurity>
  <Lines>70</Lines>
  <Paragraphs>19</Paragraphs>
  <ScaleCrop>false</ScaleCrop>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2023-11-27T11:52:00Z</dcterms:created>
  <dcterms:modified xsi:type="dcterms:W3CDTF">2024-01-02T09:14:00Z</dcterms:modified>
</cp:coreProperties>
</file>